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45E" w:rsidRDefault="0019045E" w:rsidP="0019045E">
      <w:pPr>
        <w:tabs>
          <w:tab w:val="left" w:pos="720"/>
          <w:tab w:val="left" w:pos="800"/>
        </w:tabs>
        <w:overflowPunct w:val="0"/>
        <w:autoSpaceDE w:val="0"/>
        <w:autoSpaceDN w:val="0"/>
        <w:adjustRightInd w:val="0"/>
        <w:spacing w:line="360" w:lineRule="auto"/>
        <w:jc w:val="both"/>
        <w:rPr>
          <w:rFonts w:ascii="David" w:eastAsia="Calibri" w:hAnsi="David"/>
          <w:b/>
          <w:bCs/>
          <w:spacing w:val="10"/>
        </w:rPr>
      </w:pPr>
    </w:p>
    <w:p w:rsidR="00984CBB" w:rsidRDefault="0019045E" w:rsidP="0019045E">
      <w:pPr>
        <w:spacing w:line="360" w:lineRule="auto"/>
        <w:contextualSpacing/>
        <w:jc w:val="center"/>
        <w:rPr>
          <w:rFonts w:ascii="FrankRuehl" w:hAnsi="FrankRuehl" w:cs="FrankRuehl"/>
          <w:b/>
          <w:bCs/>
          <w:sz w:val="32"/>
          <w:szCs w:val="32"/>
          <w:u w:val="single"/>
          <w:rtl/>
        </w:rPr>
      </w:pPr>
      <w:r w:rsidRPr="00984CBB">
        <w:rPr>
          <w:rFonts w:ascii="FrankRuehl" w:hAnsi="FrankRuehl" w:cs="FrankRuehl"/>
          <w:b/>
          <w:bCs/>
          <w:sz w:val="32"/>
          <w:szCs w:val="32"/>
          <w:u w:val="single"/>
          <w:rtl/>
        </w:rPr>
        <w:t xml:space="preserve">תקציר הכרעת דין </w:t>
      </w:r>
    </w:p>
    <w:p w:rsidR="0019045E" w:rsidRPr="00984CBB" w:rsidRDefault="0019045E" w:rsidP="0019045E">
      <w:pPr>
        <w:spacing w:line="360" w:lineRule="auto"/>
        <w:contextualSpacing/>
        <w:jc w:val="center"/>
        <w:rPr>
          <w:rFonts w:ascii="FrankRuehl" w:hAnsi="FrankRuehl" w:cs="FrankRuehl"/>
          <w:b/>
          <w:bCs/>
          <w:sz w:val="32"/>
          <w:szCs w:val="32"/>
          <w:u w:val="single"/>
          <w:rtl/>
        </w:rPr>
      </w:pPr>
      <w:r w:rsidRPr="00984CBB">
        <w:rPr>
          <w:rFonts w:ascii="FrankRuehl" w:hAnsi="FrankRuehl" w:cs="FrankRuehl"/>
          <w:b/>
          <w:bCs/>
          <w:sz w:val="32"/>
          <w:szCs w:val="32"/>
          <w:u w:val="single"/>
          <w:rtl/>
        </w:rPr>
        <w:t xml:space="preserve">ת"פ </w:t>
      </w:r>
      <w:bookmarkStart w:id="0" w:name="_GoBack"/>
      <w:r w:rsidRPr="00984CBB">
        <w:rPr>
          <w:rFonts w:ascii="FrankRuehl" w:hAnsi="FrankRuehl" w:cs="FrankRuehl"/>
          <w:b/>
          <w:bCs/>
          <w:sz w:val="32"/>
          <w:szCs w:val="32"/>
          <w:u w:val="single"/>
          <w:rtl/>
        </w:rPr>
        <w:t>28132-05-20</w:t>
      </w:r>
      <w:bookmarkEnd w:id="0"/>
      <w:r w:rsidRPr="00984CBB">
        <w:rPr>
          <w:rFonts w:ascii="FrankRuehl" w:hAnsi="FrankRuehl" w:cs="FrankRuehl"/>
          <w:b/>
          <w:bCs/>
          <w:sz w:val="32"/>
          <w:szCs w:val="32"/>
          <w:u w:val="single"/>
          <w:rtl/>
        </w:rPr>
        <w:t xml:space="preserve"> מדינת ישראל נ' ד"ר אילן הלוי</w:t>
      </w:r>
    </w:p>
    <w:p w:rsidR="0019045E" w:rsidRPr="00984CBB" w:rsidRDefault="0019045E" w:rsidP="0019045E">
      <w:pPr>
        <w:spacing w:line="360" w:lineRule="auto"/>
        <w:contextualSpacing/>
        <w:jc w:val="center"/>
        <w:rPr>
          <w:rFonts w:ascii="FrankRuehl" w:hAnsi="FrankRuehl" w:cs="FrankRuehl"/>
          <w:b/>
          <w:bCs/>
          <w:sz w:val="32"/>
          <w:szCs w:val="32"/>
          <w:rtl/>
        </w:rPr>
      </w:pPr>
      <w:r w:rsidRPr="00984CBB">
        <w:rPr>
          <w:rFonts w:ascii="FrankRuehl" w:hAnsi="FrankRuehl" w:cs="FrankRuehl"/>
          <w:b/>
          <w:bCs/>
          <w:sz w:val="32"/>
          <w:szCs w:val="32"/>
          <w:rtl/>
        </w:rPr>
        <w:t xml:space="preserve">השופטת אליאנא דניאלי </w:t>
      </w:r>
    </w:p>
    <w:p w:rsidR="0019045E" w:rsidRPr="006B6333" w:rsidRDefault="0019045E" w:rsidP="0019045E">
      <w:pPr>
        <w:spacing w:line="360" w:lineRule="auto"/>
        <w:jc w:val="both"/>
        <w:rPr>
          <w:rFonts w:ascii="David" w:hAnsi="David"/>
          <w:rtl/>
        </w:rPr>
      </w:pPr>
    </w:p>
    <w:p w:rsidR="0019045E" w:rsidRPr="006B6333" w:rsidRDefault="0019045E" w:rsidP="00984CBB">
      <w:pPr>
        <w:spacing w:line="360" w:lineRule="auto"/>
        <w:jc w:val="both"/>
        <w:rPr>
          <w:rFonts w:ascii="David" w:hAnsi="David"/>
          <w:rtl/>
        </w:rPr>
      </w:pPr>
      <w:r w:rsidRPr="006B6333">
        <w:rPr>
          <w:rFonts w:ascii="David" w:hAnsi="David"/>
          <w:rtl/>
        </w:rPr>
        <w:t xml:space="preserve">בהכרעת דין </w:t>
      </w:r>
      <w:r w:rsidR="00C13B98" w:rsidRPr="006B6333">
        <w:rPr>
          <w:rFonts w:ascii="David" w:hAnsi="David" w:hint="cs"/>
          <w:rtl/>
        </w:rPr>
        <w:t>ש</w:t>
      </w:r>
      <w:r w:rsidR="00C13B98" w:rsidRPr="006B6333">
        <w:rPr>
          <w:rFonts w:ascii="David" w:hAnsi="David"/>
          <w:rtl/>
        </w:rPr>
        <w:t xml:space="preserve">ניתנה היום, </w:t>
      </w:r>
      <w:r w:rsidR="00C13B98" w:rsidRPr="006B6333">
        <w:rPr>
          <w:rFonts w:ascii="David" w:hAnsi="David" w:hint="cs"/>
          <w:rtl/>
        </w:rPr>
        <w:t>19.6.23</w:t>
      </w:r>
      <w:r w:rsidR="00C13B98" w:rsidRPr="006B6333">
        <w:rPr>
          <w:rFonts w:ascii="David" w:hAnsi="David"/>
          <w:rtl/>
        </w:rPr>
        <w:t xml:space="preserve">, </w:t>
      </w:r>
      <w:r w:rsidR="00C13B98" w:rsidRPr="006B6333">
        <w:rPr>
          <w:rFonts w:ascii="David" w:eastAsia="Calibri" w:hAnsi="David" w:hint="cs"/>
          <w:spacing w:val="10"/>
          <w:rtl/>
        </w:rPr>
        <w:t xml:space="preserve">ועניינה </w:t>
      </w:r>
      <w:r w:rsidR="00C13B98" w:rsidRPr="006B6333">
        <w:rPr>
          <w:rFonts w:ascii="David" w:eastAsia="Calibri" w:hAnsi="David"/>
          <w:spacing w:val="10"/>
          <w:rtl/>
        </w:rPr>
        <w:t>ברופא נשים</w:t>
      </w:r>
      <w:r w:rsidR="00C13B98" w:rsidRPr="006B6333">
        <w:rPr>
          <w:rFonts w:ascii="David" w:eastAsia="Calibri" w:hAnsi="David" w:hint="cs"/>
          <w:spacing w:val="10"/>
          <w:rtl/>
        </w:rPr>
        <w:t>, מומחה במיילדות וגניקולוגיה,</w:t>
      </w:r>
      <w:r w:rsidR="00C13B98" w:rsidRPr="006B6333">
        <w:rPr>
          <w:rFonts w:ascii="David" w:eastAsia="Calibri" w:hAnsi="David"/>
          <w:spacing w:val="10"/>
          <w:rtl/>
        </w:rPr>
        <w:t xml:space="preserve"> אשר פתח מתחם לליד</w:t>
      </w:r>
      <w:r w:rsidR="00C13B98" w:rsidRPr="006B6333">
        <w:rPr>
          <w:rFonts w:ascii="David" w:eastAsia="Calibri" w:hAnsi="David" w:hint="cs"/>
          <w:spacing w:val="10"/>
          <w:rtl/>
        </w:rPr>
        <w:t>ו</w:t>
      </w:r>
      <w:r w:rsidR="00C13B98" w:rsidRPr="006B6333">
        <w:rPr>
          <w:rFonts w:ascii="David" w:eastAsia="Calibri" w:hAnsi="David"/>
          <w:spacing w:val="10"/>
          <w:rtl/>
        </w:rPr>
        <w:t>ת בית בשטח ביתו</w:t>
      </w:r>
      <w:r w:rsidR="00C13B98" w:rsidRPr="006B6333">
        <w:rPr>
          <w:rFonts w:ascii="David" w:eastAsia="Calibri" w:hAnsi="David" w:hint="cs"/>
          <w:spacing w:val="10"/>
          <w:rtl/>
        </w:rPr>
        <w:t>,</w:t>
      </w:r>
      <w:r w:rsidRPr="006B6333">
        <w:rPr>
          <w:rFonts w:ascii="David" w:hAnsi="David"/>
          <w:rtl/>
        </w:rPr>
        <w:t xml:space="preserve"> הרשיע בית משפט השלום ב</w:t>
      </w:r>
      <w:r w:rsidRPr="006B6333">
        <w:rPr>
          <w:rFonts w:ascii="David" w:hAnsi="David" w:hint="cs"/>
          <w:rtl/>
        </w:rPr>
        <w:t>נתניה</w:t>
      </w:r>
      <w:r w:rsidRPr="006B6333">
        <w:rPr>
          <w:rFonts w:ascii="David" w:hAnsi="David"/>
          <w:rtl/>
        </w:rPr>
        <w:t xml:space="preserve"> את הנאש</w:t>
      </w:r>
      <w:r w:rsidRPr="006B6333">
        <w:rPr>
          <w:rFonts w:ascii="David" w:hAnsi="David" w:hint="cs"/>
          <w:rtl/>
        </w:rPr>
        <w:t>ם</w:t>
      </w:r>
      <w:r w:rsidRPr="006B6333">
        <w:rPr>
          <w:rFonts w:ascii="David" w:hAnsi="David"/>
          <w:rtl/>
        </w:rPr>
        <w:t xml:space="preserve"> בעביר</w:t>
      </w:r>
      <w:r w:rsidRPr="006B6333">
        <w:rPr>
          <w:rFonts w:ascii="David" w:hAnsi="David" w:hint="cs"/>
          <w:rtl/>
        </w:rPr>
        <w:t>ו</w:t>
      </w:r>
      <w:r w:rsidRPr="006B6333">
        <w:rPr>
          <w:rFonts w:ascii="David" w:hAnsi="David"/>
          <w:rtl/>
        </w:rPr>
        <w:t xml:space="preserve">ת </w:t>
      </w:r>
      <w:r w:rsidRPr="006B6333">
        <w:rPr>
          <w:rFonts w:ascii="David" w:hAnsi="David" w:hint="cs"/>
          <w:rtl/>
        </w:rPr>
        <w:t>של טיפול רפואי רשלני, הפסקת הריון בניגוד לחוק, שיבוש מהלכי משפט, הדחה בחקירה, ובעבירות על פקודת בריאות העם ופקודת הרופאים</w:t>
      </w:r>
      <w:r w:rsidRPr="006B6333">
        <w:rPr>
          <w:rFonts w:ascii="David" w:hAnsi="David"/>
          <w:rtl/>
        </w:rPr>
        <w:t xml:space="preserve">. </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spacing w:val="10"/>
          <w:rtl/>
        </w:rPr>
        <w:t xml:space="preserve">כתב האישום מייחס לנאשם </w:t>
      </w:r>
      <w:r w:rsidR="00C13B98" w:rsidRPr="006B6333">
        <w:rPr>
          <w:rFonts w:ascii="David" w:eastAsia="Calibri" w:hAnsi="David" w:hint="cs"/>
          <w:spacing w:val="10"/>
          <w:rtl/>
        </w:rPr>
        <w:t xml:space="preserve">חמישה </w:t>
      </w:r>
      <w:proofErr w:type="spellStart"/>
      <w:r w:rsidR="00C13B98" w:rsidRPr="006B6333">
        <w:rPr>
          <w:rFonts w:ascii="David" w:eastAsia="Calibri" w:hAnsi="David" w:hint="cs"/>
          <w:spacing w:val="10"/>
          <w:rtl/>
        </w:rPr>
        <w:t>אישומים</w:t>
      </w:r>
      <w:proofErr w:type="spellEnd"/>
      <w:r w:rsidR="00C13B98" w:rsidRPr="006B6333">
        <w:rPr>
          <w:rFonts w:ascii="David" w:eastAsia="Calibri" w:hAnsi="David" w:hint="cs"/>
          <w:spacing w:val="10"/>
          <w:rtl/>
        </w:rPr>
        <w:t xml:space="preserve"> ובהם </w:t>
      </w:r>
      <w:r w:rsidRPr="006B6333">
        <w:rPr>
          <w:rFonts w:ascii="David" w:eastAsia="Calibri" w:hAnsi="David" w:hint="cs"/>
          <w:spacing w:val="10"/>
          <w:rtl/>
        </w:rPr>
        <w:t>שתי</w:t>
      </w:r>
      <w:r w:rsidRPr="006B6333">
        <w:rPr>
          <w:rFonts w:ascii="David" w:eastAsia="Calibri" w:hAnsi="David"/>
          <w:spacing w:val="10"/>
          <w:rtl/>
        </w:rPr>
        <w:t xml:space="preserve"> עבירות של טיפול רשלני ביולדות שהגיעו למתחם, כמו גם </w:t>
      </w:r>
      <w:r w:rsidR="00C13B98" w:rsidRPr="006B6333">
        <w:rPr>
          <w:rFonts w:ascii="David" w:eastAsia="Calibri" w:hAnsi="David"/>
          <w:spacing w:val="10"/>
          <w:rtl/>
        </w:rPr>
        <w:t xml:space="preserve">הפסקת היריון לא חוקית, </w:t>
      </w:r>
      <w:r w:rsidRPr="006B6333">
        <w:rPr>
          <w:rFonts w:ascii="David" w:eastAsia="Calibri" w:hAnsi="David"/>
          <w:spacing w:val="10"/>
          <w:rtl/>
        </w:rPr>
        <w:t>הפרת צווים שהושתו על</w:t>
      </w:r>
      <w:r w:rsidRPr="006B6333">
        <w:rPr>
          <w:rFonts w:ascii="David" w:eastAsia="Calibri" w:hAnsi="David" w:hint="cs"/>
          <w:spacing w:val="10"/>
          <w:rtl/>
        </w:rPr>
        <w:t>יו</w:t>
      </w:r>
      <w:r w:rsidRPr="006B6333">
        <w:rPr>
          <w:rFonts w:ascii="David" w:eastAsia="Calibri" w:hAnsi="David"/>
          <w:spacing w:val="10"/>
          <w:rtl/>
        </w:rPr>
        <w:t xml:space="preserve"> ועל המתחם במטר</w:t>
      </w:r>
      <w:r w:rsidR="00C13B98" w:rsidRPr="006B6333">
        <w:rPr>
          <w:rFonts w:ascii="David" w:eastAsia="Calibri" w:hAnsi="David"/>
          <w:spacing w:val="10"/>
          <w:rtl/>
        </w:rPr>
        <w:t>ה למנוע את המשך ההתנהלות במקום</w:t>
      </w:r>
      <w:r w:rsidR="00C13B98" w:rsidRPr="006B6333">
        <w:rPr>
          <w:rFonts w:ascii="David" w:eastAsia="Calibri" w:hAnsi="David" w:hint="cs"/>
          <w:spacing w:val="10"/>
          <w:rtl/>
        </w:rPr>
        <w:t>, ועוד.</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spacing w:val="10"/>
          <w:rtl/>
        </w:rPr>
        <w:t>ב</w:t>
      </w:r>
      <w:r w:rsidR="0082058C" w:rsidRPr="006B6333">
        <w:rPr>
          <w:rFonts w:ascii="David" w:eastAsia="Calibri" w:hAnsi="David" w:hint="cs"/>
          <w:spacing w:val="10"/>
          <w:rtl/>
        </w:rPr>
        <w:t>מ</w:t>
      </w:r>
      <w:r w:rsidR="00C13B98" w:rsidRPr="006B6333">
        <w:rPr>
          <w:rFonts w:ascii="David" w:eastAsia="Calibri" w:hAnsi="David" w:hint="cs"/>
          <w:spacing w:val="10"/>
          <w:rtl/>
        </w:rPr>
        <w:t>הלך אחת הלידות</w:t>
      </w:r>
      <w:r w:rsidRPr="006B6333">
        <w:rPr>
          <w:rFonts w:ascii="David" w:eastAsia="Calibri" w:hAnsi="David"/>
          <w:spacing w:val="10"/>
          <w:rtl/>
        </w:rPr>
        <w:t xml:space="preserve"> נקרע רחמה של היולדת, אך הנאשם לא דאג לפינוייה במועד ובדרך אשר תבטיח את שלומה לבית חולים, </w:t>
      </w:r>
      <w:r w:rsidRPr="006B6333">
        <w:rPr>
          <w:rFonts w:ascii="David" w:eastAsia="Calibri" w:hAnsi="David" w:hint="cs"/>
          <w:spacing w:val="10"/>
          <w:rtl/>
        </w:rPr>
        <w:t>לא חיבר לה עירוי, ושילח אותה לדרכה ברכב המשפחתי בו נהג בעלה, ללא ליווי רפואי וללא התראה לבית החולים, שם נותחה ניתוח חירום להצלת רחמה וחייה.</w:t>
      </w:r>
    </w:p>
    <w:p w:rsidR="00C13B98" w:rsidRPr="006B6333" w:rsidRDefault="00C13B98"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C13B98"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 xml:space="preserve">מספר ימים </w:t>
      </w:r>
      <w:r w:rsidR="0019045E" w:rsidRPr="006B6333">
        <w:rPr>
          <w:rFonts w:ascii="David" w:eastAsia="Calibri" w:hAnsi="David"/>
          <w:spacing w:val="10"/>
          <w:rtl/>
        </w:rPr>
        <w:t>לאחר אירוע לידה אחר נפטרה תינוקת, אשר בני משפחתה התריעו בפני הנאשם כי מצבה אינו טוב, אך הנאשם הרג</w:t>
      </w:r>
      <w:r w:rsidR="0082058C" w:rsidRPr="006B6333">
        <w:rPr>
          <w:rFonts w:ascii="David" w:eastAsia="Calibri" w:hAnsi="David"/>
          <w:spacing w:val="10"/>
          <w:rtl/>
        </w:rPr>
        <w:t xml:space="preserve">יעם </w:t>
      </w:r>
      <w:r w:rsidR="0082058C" w:rsidRPr="006B6333">
        <w:rPr>
          <w:rFonts w:ascii="David" w:eastAsia="Calibri" w:hAnsi="David" w:hint="cs"/>
          <w:spacing w:val="10"/>
          <w:rtl/>
        </w:rPr>
        <w:t>במקום</w:t>
      </w:r>
      <w:r w:rsidRPr="006B6333">
        <w:rPr>
          <w:rFonts w:ascii="David" w:eastAsia="Calibri" w:hAnsi="David"/>
          <w:spacing w:val="10"/>
          <w:rtl/>
        </w:rPr>
        <w:t xml:space="preserve"> לספק לתינוקת טיפול או ל</w:t>
      </w:r>
      <w:r w:rsidR="0019045E" w:rsidRPr="006B6333">
        <w:rPr>
          <w:rFonts w:ascii="David" w:eastAsia="Calibri" w:hAnsi="David"/>
          <w:spacing w:val="10"/>
          <w:rtl/>
        </w:rPr>
        <w:t>פנותה במועד לבית חולים</w:t>
      </w:r>
      <w:r w:rsidRPr="006B6333">
        <w:rPr>
          <w:rFonts w:ascii="David" w:eastAsia="Calibri" w:hAnsi="David" w:hint="cs"/>
          <w:spacing w:val="10"/>
          <w:rtl/>
        </w:rPr>
        <w:t>, ואף אותה פינו ההורים ללא ליווי הנאשם וללא התראה לבית החולים על הגעת תינוקת במצוקה</w:t>
      </w:r>
      <w:r w:rsidR="0019045E" w:rsidRPr="006B6333">
        <w:rPr>
          <w:rFonts w:ascii="David" w:eastAsia="Calibri" w:hAnsi="David"/>
          <w:spacing w:val="10"/>
          <w:rtl/>
        </w:rPr>
        <w:t>.</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E6C1A" w:rsidRPr="006B6333" w:rsidRDefault="000E6C1A"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בשני מקרים אלו פעל הנאשם באופן שתואר, בין היתר על מנת להסתיר את מעורבותו בלידות אלו.</w:t>
      </w:r>
    </w:p>
    <w:p w:rsidR="000E6C1A" w:rsidRPr="006B6333" w:rsidRDefault="000E6C1A"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בכך הנאשם, הטוען כי המדינה היא שפוגעת בזכויות הנשים ללדת באופן בו הן בוחרות, נהג בניגוד לטובת הנשים אשר נתנו בו אמון, בהגיען ללדת במתחם שבבעלותו מתוך הנחה כי יראה את טובתן לנגד עיניו וישמור על בריאותן.</w:t>
      </w:r>
    </w:p>
    <w:p w:rsidR="000E6C1A" w:rsidRPr="006B6333" w:rsidRDefault="000E6C1A"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2058C" w:rsidRPr="006B6333" w:rsidRDefault="000E6C1A"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 xml:space="preserve">נקבע כי </w:t>
      </w:r>
      <w:r w:rsidR="0082058C" w:rsidRPr="006B6333">
        <w:rPr>
          <w:rFonts w:ascii="David" w:eastAsia="Calibri" w:hAnsi="David"/>
          <w:spacing w:val="10"/>
          <w:rtl/>
        </w:rPr>
        <w:t xml:space="preserve">חוזר מנהל רפואה </w:t>
      </w:r>
      <w:r w:rsidR="0082058C" w:rsidRPr="006B6333">
        <w:rPr>
          <w:rFonts w:ascii="David" w:eastAsia="Calibri" w:hAnsi="David" w:hint="cs"/>
          <w:spacing w:val="10"/>
          <w:rtl/>
        </w:rPr>
        <w:t xml:space="preserve">העוסק בלידות בית </w:t>
      </w:r>
      <w:r w:rsidR="0082058C" w:rsidRPr="006B6333">
        <w:rPr>
          <w:rFonts w:ascii="David" w:eastAsia="Calibri" w:hAnsi="David"/>
          <w:spacing w:val="10"/>
          <w:rtl/>
        </w:rPr>
        <w:t xml:space="preserve">אינו מהווה הנחייה מחייבת, </w:t>
      </w:r>
      <w:r w:rsidR="0082058C" w:rsidRPr="006B6333">
        <w:rPr>
          <w:rFonts w:ascii="David" w:eastAsia="Calibri" w:hAnsi="David" w:hint="cs"/>
          <w:spacing w:val="10"/>
          <w:rtl/>
        </w:rPr>
        <w:t xml:space="preserve">אך </w:t>
      </w:r>
      <w:r w:rsidR="0082058C" w:rsidRPr="006B6333">
        <w:rPr>
          <w:rFonts w:ascii="David" w:eastAsia="Calibri" w:hAnsi="David"/>
          <w:spacing w:val="10"/>
          <w:rtl/>
        </w:rPr>
        <w:t>הוא מלמד על הדרך בה לדעת המומחים בתחום יש לנהוג כאשר עסקינן בלידות בסיכון. הנאשם פעל ב</w:t>
      </w:r>
      <w:r w:rsidR="0082058C" w:rsidRPr="006B6333">
        <w:rPr>
          <w:rFonts w:ascii="David" w:eastAsia="Calibri" w:hAnsi="David" w:hint="cs"/>
          <w:spacing w:val="10"/>
          <w:rtl/>
        </w:rPr>
        <w:t>ניגוד לסטנדרט הרפואי המקובל המותווה בהנחיות, ו</w:t>
      </w:r>
      <w:r w:rsidR="0082058C" w:rsidRPr="006B6333">
        <w:rPr>
          <w:rFonts w:ascii="David" w:eastAsia="Calibri" w:hAnsi="David"/>
          <w:spacing w:val="10"/>
          <w:rtl/>
        </w:rPr>
        <w:t>כמי שהיה בעל הידע והניסיון, בו שמו הנשים מבטחן, קיבל א</w:t>
      </w:r>
      <w:r w:rsidR="0082058C" w:rsidRPr="006B6333">
        <w:rPr>
          <w:rFonts w:ascii="David" w:eastAsia="Calibri" w:hAnsi="David" w:hint="cs"/>
          <w:spacing w:val="10"/>
          <w:rtl/>
        </w:rPr>
        <w:t xml:space="preserve">ת הנשים </w:t>
      </w:r>
      <w:r w:rsidR="0082058C" w:rsidRPr="006B6333">
        <w:rPr>
          <w:rFonts w:ascii="David" w:eastAsia="Calibri" w:hAnsi="David"/>
          <w:spacing w:val="10"/>
          <w:rtl/>
        </w:rPr>
        <w:t xml:space="preserve">ללידה במתחם שבבעלותו, ובמעשיו ובמחדליו הביא לסיכונן. </w:t>
      </w:r>
    </w:p>
    <w:p w:rsidR="0082058C" w:rsidRPr="006B6333" w:rsidRDefault="0082058C"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2058C" w:rsidRPr="006B6333" w:rsidRDefault="0082058C"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spacing w:val="10"/>
          <w:rtl/>
        </w:rPr>
        <w:lastRenderedPageBreak/>
        <w:t xml:space="preserve">הנאשם יילד במתחם נשים אשר עקב נסיבות הכרוכות בעיקרן בניתוחים קיסריים בעברן, </w:t>
      </w:r>
      <w:r w:rsidRPr="006B6333">
        <w:rPr>
          <w:rFonts w:ascii="David" w:eastAsia="Calibri" w:hAnsi="David" w:hint="cs"/>
          <w:spacing w:val="10"/>
          <w:rtl/>
        </w:rPr>
        <w:t>משרד הבריאות כמו המומחים בתחום קבעו ש</w:t>
      </w:r>
      <w:r w:rsidRPr="006B6333">
        <w:rPr>
          <w:rFonts w:ascii="David" w:eastAsia="Calibri" w:hAnsi="David"/>
          <w:spacing w:val="10"/>
          <w:rtl/>
        </w:rPr>
        <w:t>קיים סיכון בילוד</w:t>
      </w:r>
      <w:r w:rsidRPr="006B6333">
        <w:rPr>
          <w:rFonts w:ascii="David" w:eastAsia="Calibri" w:hAnsi="David" w:hint="cs"/>
          <w:spacing w:val="10"/>
          <w:rtl/>
        </w:rPr>
        <w:t xml:space="preserve"> אותן נשים</w:t>
      </w:r>
      <w:r w:rsidRPr="006B6333">
        <w:rPr>
          <w:rFonts w:ascii="David" w:eastAsia="Calibri" w:hAnsi="David"/>
          <w:spacing w:val="10"/>
          <w:rtl/>
        </w:rPr>
        <w:t xml:space="preserve"> בלידת בית</w:t>
      </w:r>
      <w:r w:rsidRPr="006B6333">
        <w:rPr>
          <w:rFonts w:ascii="David" w:eastAsia="Calibri" w:hAnsi="David" w:hint="cs"/>
          <w:spacing w:val="10"/>
          <w:rtl/>
        </w:rPr>
        <w:t>, ואין לסייע להן בכך</w:t>
      </w:r>
      <w:r w:rsidRPr="006B6333">
        <w:rPr>
          <w:rFonts w:ascii="David" w:eastAsia="Calibri" w:hAnsi="David"/>
          <w:spacing w:val="10"/>
          <w:rtl/>
        </w:rPr>
        <w:t xml:space="preserve">. </w:t>
      </w:r>
    </w:p>
    <w:p w:rsidR="0082058C" w:rsidRPr="006B6333" w:rsidRDefault="0082058C"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C13B98"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 xml:space="preserve">משכך, </w:t>
      </w:r>
      <w:r w:rsidR="0019045E" w:rsidRPr="006B6333">
        <w:rPr>
          <w:rFonts w:ascii="David" w:eastAsia="Calibri" w:hAnsi="David" w:hint="cs"/>
          <w:spacing w:val="10"/>
          <w:rtl/>
        </w:rPr>
        <w:t xml:space="preserve">הורשע הנאשם בטיפול </w:t>
      </w:r>
      <w:r w:rsidR="0019045E" w:rsidRPr="006B6333">
        <w:rPr>
          <w:rFonts w:ascii="David" w:eastAsia="Calibri" w:hAnsi="David"/>
          <w:spacing w:val="10"/>
          <w:rtl/>
        </w:rPr>
        <w:t>רשלני</w:t>
      </w:r>
      <w:r w:rsidR="0019045E" w:rsidRPr="006B6333">
        <w:rPr>
          <w:rFonts w:ascii="David" w:eastAsia="Calibri" w:hAnsi="David" w:hint="cs"/>
          <w:spacing w:val="10"/>
          <w:rtl/>
        </w:rPr>
        <w:t xml:space="preserve"> ביולדות אלו</w:t>
      </w:r>
      <w:r w:rsidRPr="006B6333">
        <w:rPr>
          <w:rFonts w:ascii="David" w:eastAsia="Calibri" w:hAnsi="David" w:hint="cs"/>
          <w:spacing w:val="10"/>
          <w:rtl/>
        </w:rPr>
        <w:t>,</w:t>
      </w:r>
      <w:r w:rsidR="0019045E" w:rsidRPr="006B6333">
        <w:rPr>
          <w:rFonts w:ascii="David" w:eastAsia="Calibri" w:hAnsi="David" w:hint="cs"/>
          <w:spacing w:val="10"/>
          <w:rtl/>
        </w:rPr>
        <w:t xml:space="preserve"> בדרך </w:t>
      </w:r>
      <w:r w:rsidR="0019045E" w:rsidRPr="006B6333">
        <w:rPr>
          <w:rFonts w:ascii="David" w:eastAsia="Calibri" w:hAnsi="David"/>
          <w:spacing w:val="10"/>
          <w:rtl/>
        </w:rPr>
        <w:t>אשר היה בה כדי לסכן אותן</w:t>
      </w:r>
      <w:r w:rsidR="0019045E" w:rsidRPr="006B6333">
        <w:rPr>
          <w:rFonts w:ascii="David" w:eastAsia="Calibri" w:hAnsi="David" w:hint="cs"/>
          <w:spacing w:val="10"/>
          <w:rtl/>
        </w:rPr>
        <w:t xml:space="preserve"> ואת פרי בטנן</w:t>
      </w:r>
      <w:r w:rsidR="0019045E" w:rsidRPr="006B6333">
        <w:rPr>
          <w:rFonts w:ascii="David" w:eastAsia="Calibri" w:hAnsi="David"/>
          <w:spacing w:val="10"/>
          <w:rtl/>
        </w:rPr>
        <w:t xml:space="preserve">. </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כן ביצע הנאשם הפלה לא חוקית, שיבש מהלכי משפט וביצע עבירה של הדחה בחקירה.</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82058C"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 xml:space="preserve">בנוסף לכך, </w:t>
      </w:r>
      <w:r w:rsidR="0019045E" w:rsidRPr="006B6333">
        <w:rPr>
          <w:rFonts w:ascii="David" w:eastAsia="Calibri" w:hAnsi="David" w:hint="cs"/>
          <w:spacing w:val="10"/>
          <w:rtl/>
        </w:rPr>
        <w:t>הנאשם גם הפר צווים שהוצאו כנגדו וכנגד המתחם, לשם הפסקת פעילותו המסכנת יולדות, צווים עליהם ערער לבית המשפט המחוזי ולבית המשפט העליון</w:t>
      </w:r>
      <w:r w:rsidR="00C13B98" w:rsidRPr="006B6333">
        <w:rPr>
          <w:rFonts w:ascii="David" w:eastAsia="Calibri" w:hAnsi="David" w:hint="cs"/>
          <w:spacing w:val="10"/>
          <w:rtl/>
        </w:rPr>
        <w:t>.</w:t>
      </w:r>
      <w:r w:rsidR="0019045E" w:rsidRPr="006B6333">
        <w:rPr>
          <w:rFonts w:ascii="David" w:eastAsia="Calibri" w:hAnsi="David" w:hint="cs"/>
          <w:spacing w:val="10"/>
          <w:rtl/>
        </w:rPr>
        <w:t xml:space="preserve"> חרף דחיית ערעוריו, הפעיל את המתחם בניגוד לצווים אלו, וקיבל לטיפולו נשים</w:t>
      </w:r>
      <w:r w:rsidR="00C13B98" w:rsidRPr="006B6333">
        <w:rPr>
          <w:rFonts w:ascii="David" w:eastAsia="Calibri" w:hAnsi="David" w:hint="cs"/>
          <w:spacing w:val="10"/>
          <w:rtl/>
        </w:rPr>
        <w:t>, ובהן גם נשים</w:t>
      </w:r>
      <w:r w:rsidR="0019045E" w:rsidRPr="006B6333">
        <w:rPr>
          <w:rFonts w:ascii="David" w:eastAsia="Calibri" w:hAnsi="David" w:hint="cs"/>
          <w:spacing w:val="10"/>
          <w:rtl/>
        </w:rPr>
        <w:t xml:space="preserve"> לגביהן הומלץ כי לא ילדו בלידת בית, עקב הסיכון הכרוך בכך להן ולפרי בטנן.</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הנאשם המשיך להפר את הצווים גם במהלך ניהול ההליך הפלילי נגדו, ואף לאחר שהחלה שמיעת הראיות בתיק</w:t>
      </w:r>
      <w:r w:rsidRPr="006B6333">
        <w:rPr>
          <w:rFonts w:ascii="David" w:eastAsia="Calibri" w:hAnsi="David"/>
          <w:spacing w:val="10"/>
          <w:rtl/>
        </w:rPr>
        <w:t>.</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 xml:space="preserve">יובהר כי בניגוד לאופי בו ניסתה ההגנה </w:t>
      </w:r>
      <w:r w:rsidR="00C13B98" w:rsidRPr="006B6333">
        <w:rPr>
          <w:rFonts w:ascii="David" w:eastAsia="Calibri" w:hAnsi="David" w:hint="cs"/>
          <w:spacing w:val="10"/>
          <w:rtl/>
        </w:rPr>
        <w:t xml:space="preserve">לפרקים </w:t>
      </w:r>
      <w:r w:rsidRPr="006B6333">
        <w:rPr>
          <w:rFonts w:ascii="David" w:eastAsia="Calibri" w:hAnsi="David" w:hint="cs"/>
          <w:spacing w:val="10"/>
          <w:rtl/>
        </w:rPr>
        <w:t xml:space="preserve">לצבוע את התיק, </w:t>
      </w:r>
      <w:r w:rsidRPr="006B6333">
        <w:rPr>
          <w:rFonts w:ascii="David" w:eastAsia="Calibri" w:hAnsi="David"/>
          <w:spacing w:val="10"/>
          <w:rtl/>
        </w:rPr>
        <w:t>התיק אינו עוסק בסוגיית לידות הבית</w:t>
      </w:r>
      <w:r w:rsidR="00C13B98" w:rsidRPr="006B6333">
        <w:rPr>
          <w:rFonts w:ascii="David" w:eastAsia="Calibri" w:hAnsi="David" w:hint="cs"/>
          <w:spacing w:val="10"/>
          <w:rtl/>
        </w:rPr>
        <w:t xml:space="preserve"> ובזכויות הנשים לגופן</w:t>
      </w:r>
      <w:r w:rsidRPr="006B6333">
        <w:rPr>
          <w:rFonts w:ascii="David" w:eastAsia="Calibri" w:hAnsi="David"/>
          <w:spacing w:val="10"/>
          <w:rtl/>
        </w:rPr>
        <w:t>, אלא בבחינה האם במעשיו התרשל הנאשם, ו</w:t>
      </w:r>
      <w:r w:rsidR="00C13B98" w:rsidRPr="006B6333">
        <w:rPr>
          <w:rFonts w:ascii="David" w:eastAsia="Calibri" w:hAnsi="David" w:hint="cs"/>
          <w:spacing w:val="10"/>
          <w:rtl/>
        </w:rPr>
        <w:t>האם</w:t>
      </w:r>
      <w:r w:rsidRPr="006B6333">
        <w:rPr>
          <w:rFonts w:ascii="David" w:eastAsia="Calibri" w:hAnsi="David"/>
          <w:spacing w:val="10"/>
          <w:rtl/>
        </w:rPr>
        <w:t xml:space="preserve"> ביצע עבירות נוספות.</w:t>
      </w:r>
      <w:r w:rsidR="000E6C1A" w:rsidRPr="006B6333">
        <w:rPr>
          <w:rFonts w:ascii="David" w:eastAsia="Calibri" w:hAnsi="David" w:hint="cs"/>
          <w:spacing w:val="10"/>
          <w:rtl/>
        </w:rPr>
        <w:t xml:space="preserve"> עם זאת, בית המשפט התייחס גם לסוגיית לידות הבית והציע למשרד הבריאות לבחון שוב מדיניותו בנושא רגיש זה, בו יש לאזן את ההגנה על שלום הציבור עם זכויותיהן של נשים, ובכלל זה זכותן לבחור את הדרך בה ילדו.</w:t>
      </w:r>
    </w:p>
    <w:p w:rsidR="0019045E" w:rsidRPr="006B6333"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D5C6A" w:rsidRDefault="0019045E"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6333">
        <w:rPr>
          <w:rFonts w:ascii="David" w:eastAsia="Calibri" w:hAnsi="David" w:hint="cs"/>
          <w:spacing w:val="10"/>
          <w:rtl/>
        </w:rPr>
        <w:t xml:space="preserve">הרשעת רופא בדין פלילי בגין טיפול אותו ביצע אינה מעשה תדיר. אולם </w:t>
      </w:r>
      <w:r w:rsidRPr="006B6333">
        <w:rPr>
          <w:rFonts w:ascii="David" w:eastAsia="Calibri" w:hAnsi="David"/>
          <w:spacing w:val="10"/>
          <w:rtl/>
        </w:rPr>
        <w:t>צעדים קודמים ודרסטיים פחות מהגשת כתב האישום כנגד</w:t>
      </w:r>
      <w:r w:rsidRPr="006B6333">
        <w:rPr>
          <w:rFonts w:ascii="David" w:eastAsia="Calibri" w:hAnsi="David" w:hint="cs"/>
          <w:spacing w:val="10"/>
          <w:rtl/>
        </w:rPr>
        <w:t xml:space="preserve"> הנאשם, כגון הוצאת צווים והגשת קובלנה משמעתית כנגדו</w:t>
      </w:r>
      <w:r w:rsidRPr="006B6333">
        <w:rPr>
          <w:rFonts w:ascii="David" w:eastAsia="Calibri" w:hAnsi="David"/>
          <w:spacing w:val="10"/>
          <w:rtl/>
        </w:rPr>
        <w:t xml:space="preserve"> לא הועילו</w:t>
      </w:r>
      <w:r w:rsidRPr="006B6333">
        <w:rPr>
          <w:rFonts w:ascii="David" w:eastAsia="Calibri" w:hAnsi="David" w:hint="cs"/>
          <w:spacing w:val="10"/>
          <w:rtl/>
        </w:rPr>
        <w:t>,</w:t>
      </w:r>
      <w:r w:rsidRPr="006B6333">
        <w:rPr>
          <w:rFonts w:ascii="David" w:eastAsia="Calibri" w:hAnsi="David"/>
          <w:spacing w:val="10"/>
          <w:rtl/>
        </w:rPr>
        <w:t xml:space="preserve"> ולא הביאו א</w:t>
      </w:r>
      <w:r w:rsidRPr="006B6333">
        <w:rPr>
          <w:rFonts w:ascii="David" w:eastAsia="Calibri" w:hAnsi="David" w:hint="cs"/>
          <w:spacing w:val="10"/>
          <w:rtl/>
        </w:rPr>
        <w:t>ו</w:t>
      </w:r>
      <w:r w:rsidRPr="006B6333">
        <w:rPr>
          <w:rFonts w:ascii="David" w:eastAsia="Calibri" w:hAnsi="David"/>
          <w:spacing w:val="10"/>
          <w:rtl/>
        </w:rPr>
        <w:t>ת</w:t>
      </w:r>
      <w:r w:rsidRPr="006B6333">
        <w:rPr>
          <w:rFonts w:ascii="David" w:eastAsia="Calibri" w:hAnsi="David" w:hint="cs"/>
          <w:spacing w:val="10"/>
          <w:rtl/>
        </w:rPr>
        <w:t>ו</w:t>
      </w:r>
      <w:r w:rsidRPr="006B6333">
        <w:rPr>
          <w:rFonts w:ascii="David" w:eastAsia="Calibri" w:hAnsi="David"/>
          <w:spacing w:val="10"/>
          <w:rtl/>
        </w:rPr>
        <w:t xml:space="preserve"> לחדול ממעשיו</w:t>
      </w:r>
      <w:r w:rsidR="00C13B98" w:rsidRPr="006B6333">
        <w:rPr>
          <w:rFonts w:ascii="David" w:eastAsia="Calibri" w:hAnsi="David" w:hint="cs"/>
          <w:spacing w:val="10"/>
          <w:rtl/>
        </w:rPr>
        <w:t>. הנאשם</w:t>
      </w:r>
      <w:r w:rsidRPr="006B6333">
        <w:rPr>
          <w:rFonts w:ascii="David" w:eastAsia="Calibri" w:hAnsi="David" w:hint="cs"/>
          <w:spacing w:val="10"/>
          <w:rtl/>
        </w:rPr>
        <w:t xml:space="preserve"> </w:t>
      </w:r>
      <w:r w:rsidR="00C13B98" w:rsidRPr="006B6333">
        <w:rPr>
          <w:rFonts w:ascii="David" w:eastAsia="Calibri" w:hAnsi="David" w:hint="cs"/>
          <w:spacing w:val="10"/>
          <w:rtl/>
        </w:rPr>
        <w:t>ה</w:t>
      </w:r>
      <w:r w:rsidRPr="006B6333">
        <w:rPr>
          <w:rFonts w:ascii="David" w:eastAsia="Calibri" w:hAnsi="David" w:hint="cs"/>
          <w:spacing w:val="10"/>
          <w:rtl/>
        </w:rPr>
        <w:t>תעלם</w:t>
      </w:r>
      <w:r w:rsidRPr="006B6333">
        <w:rPr>
          <w:rFonts w:ascii="David" w:eastAsia="Calibri" w:hAnsi="David"/>
          <w:spacing w:val="10"/>
          <w:rtl/>
        </w:rPr>
        <w:t xml:space="preserve"> </w:t>
      </w:r>
      <w:r w:rsidRPr="006B6333">
        <w:rPr>
          <w:rFonts w:ascii="David" w:eastAsia="Calibri" w:hAnsi="David" w:hint="cs"/>
          <w:spacing w:val="10"/>
          <w:rtl/>
        </w:rPr>
        <w:t>מ</w:t>
      </w:r>
      <w:r w:rsidRPr="006B6333">
        <w:rPr>
          <w:rFonts w:ascii="David" w:eastAsia="Calibri" w:hAnsi="David"/>
          <w:spacing w:val="10"/>
          <w:rtl/>
        </w:rPr>
        <w:t xml:space="preserve">דרכי ההתנהלות והטיפול המקובלות על אנשי המקצוע, </w:t>
      </w:r>
      <w:r w:rsidRPr="006B6333">
        <w:rPr>
          <w:rFonts w:ascii="David" w:eastAsia="Calibri" w:hAnsi="David" w:hint="cs"/>
          <w:spacing w:val="10"/>
          <w:rtl/>
        </w:rPr>
        <w:t>גרם</w:t>
      </w:r>
      <w:r w:rsidRPr="006B6333">
        <w:rPr>
          <w:rFonts w:ascii="David" w:eastAsia="Calibri" w:hAnsi="David"/>
          <w:spacing w:val="10"/>
          <w:rtl/>
        </w:rPr>
        <w:t xml:space="preserve"> בכך לסיכון הנשים היולדות ופרי בטנן</w:t>
      </w:r>
      <w:r w:rsidRPr="006B6333">
        <w:rPr>
          <w:rFonts w:ascii="David" w:eastAsia="Calibri" w:hAnsi="David" w:hint="cs"/>
          <w:spacing w:val="10"/>
          <w:rtl/>
        </w:rPr>
        <w:t>, ו</w:t>
      </w:r>
      <w:r w:rsidR="00C13B98" w:rsidRPr="006B6333">
        <w:rPr>
          <w:rFonts w:ascii="David" w:eastAsia="Calibri" w:hAnsi="David" w:hint="cs"/>
          <w:spacing w:val="10"/>
          <w:rtl/>
        </w:rPr>
        <w:t>ה</w:t>
      </w:r>
      <w:r w:rsidR="0082058C" w:rsidRPr="006B6333">
        <w:rPr>
          <w:rFonts w:ascii="David" w:eastAsia="Calibri" w:hAnsi="David" w:hint="cs"/>
          <w:spacing w:val="10"/>
          <w:rtl/>
        </w:rPr>
        <w:t>פר צווים.</w:t>
      </w:r>
      <w:r w:rsidR="000E6C1A" w:rsidRPr="006B6333">
        <w:rPr>
          <w:rFonts w:ascii="David" w:eastAsia="Calibri" w:hAnsi="David" w:hint="cs"/>
          <w:spacing w:val="10"/>
          <w:rtl/>
        </w:rPr>
        <w:t xml:space="preserve"> לפיכך הורשע בעבירות אשר פורטו לעיל.</w:t>
      </w:r>
    </w:p>
    <w:p w:rsidR="00984CBB" w:rsidRDefault="00984CBB"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84CBB" w:rsidRDefault="00984CBB" w:rsidP="00984CBB">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84CBB" w:rsidRPr="00984CBB" w:rsidRDefault="00984CBB" w:rsidP="00984CBB">
      <w:pPr>
        <w:spacing w:after="120"/>
        <w:jc w:val="both"/>
        <w:rPr>
          <w:rFonts w:ascii="FrankRuehl" w:hAnsi="FrankRuehl" w:cs="FrankRuehl"/>
          <w:b/>
          <w:bCs/>
          <w:color w:val="323E4F"/>
          <w:sz w:val="26"/>
          <w:szCs w:val="26"/>
        </w:rPr>
      </w:pPr>
      <w:r w:rsidRPr="00984CBB">
        <w:rPr>
          <w:rFonts w:ascii="FrankRuehl" w:hAnsi="FrankRuehl" w:cs="FrankRuehl" w:hint="cs"/>
          <w:b/>
          <w:bCs/>
          <w:color w:val="323E4F"/>
          <w:sz w:val="26"/>
          <w:szCs w:val="26"/>
          <w:rtl/>
        </w:rPr>
        <w:t xml:space="preserve">*** </w:t>
      </w:r>
      <w:r w:rsidRPr="00984CBB">
        <w:rPr>
          <w:rFonts w:ascii="FrankRuehl" w:hAnsi="FrankRuehl" w:cs="FrankRuehl"/>
          <w:b/>
          <w:bCs/>
          <w:color w:val="323E4F"/>
          <w:sz w:val="26"/>
          <w:szCs w:val="26"/>
          <w:rtl/>
        </w:rPr>
        <w:t xml:space="preserve">התקציר אינו בא להחליף את </w:t>
      </w:r>
      <w:r w:rsidRPr="00984CBB">
        <w:rPr>
          <w:rFonts w:ascii="FrankRuehl" w:hAnsi="FrankRuehl" w:cs="FrankRuehl" w:hint="cs"/>
          <w:b/>
          <w:bCs/>
          <w:color w:val="323E4F"/>
          <w:sz w:val="26"/>
          <w:szCs w:val="26"/>
          <w:rtl/>
        </w:rPr>
        <w:t>הכרעת הדין</w:t>
      </w:r>
      <w:r w:rsidRPr="00984CBB">
        <w:rPr>
          <w:rFonts w:ascii="FrankRuehl" w:hAnsi="FrankRuehl" w:cs="FrankRuehl"/>
          <w:b/>
          <w:bCs/>
          <w:color w:val="323E4F"/>
          <w:sz w:val="26"/>
          <w:szCs w:val="26"/>
          <w:rtl/>
        </w:rPr>
        <w:t xml:space="preserve">, הנוסח המחייב הוא זה של </w:t>
      </w:r>
      <w:r w:rsidRPr="00984CBB">
        <w:rPr>
          <w:rFonts w:ascii="FrankRuehl" w:hAnsi="FrankRuehl" w:cs="FrankRuehl" w:hint="cs"/>
          <w:b/>
          <w:bCs/>
          <w:color w:val="323E4F"/>
          <w:sz w:val="26"/>
          <w:szCs w:val="26"/>
          <w:rtl/>
        </w:rPr>
        <w:t>הכרעת הדין</w:t>
      </w:r>
      <w:r w:rsidRPr="00984CBB">
        <w:rPr>
          <w:rFonts w:ascii="FrankRuehl" w:hAnsi="FrankRuehl" w:cs="FrankRuehl"/>
          <w:b/>
          <w:bCs/>
          <w:color w:val="323E4F"/>
          <w:sz w:val="26"/>
          <w:szCs w:val="26"/>
          <w:rtl/>
        </w:rPr>
        <w:t xml:space="preserve"> המלא</w:t>
      </w:r>
      <w:r w:rsidRPr="00984CBB">
        <w:rPr>
          <w:rFonts w:ascii="FrankRuehl" w:hAnsi="FrankRuehl" w:cs="FrankRuehl" w:hint="cs"/>
          <w:b/>
          <w:bCs/>
          <w:color w:val="323E4F"/>
          <w:sz w:val="26"/>
          <w:szCs w:val="26"/>
          <w:rtl/>
        </w:rPr>
        <w:t>ה ***</w:t>
      </w:r>
    </w:p>
    <w:p w:rsidR="00984CBB" w:rsidRPr="00984CBB" w:rsidRDefault="00984CBB" w:rsidP="0082058C">
      <w:pPr>
        <w:tabs>
          <w:tab w:val="left" w:pos="720"/>
          <w:tab w:val="left" w:pos="800"/>
        </w:tabs>
        <w:overflowPunct w:val="0"/>
        <w:autoSpaceDE w:val="0"/>
        <w:autoSpaceDN w:val="0"/>
        <w:adjustRightInd w:val="0"/>
        <w:spacing w:line="360" w:lineRule="auto"/>
        <w:jc w:val="both"/>
        <w:rPr>
          <w:rFonts w:ascii="David" w:eastAsia="Calibri" w:hAnsi="David"/>
          <w:spacing w:val="10"/>
        </w:rPr>
      </w:pPr>
    </w:p>
    <w:sectPr w:rsidR="00984CBB" w:rsidRPr="00984CBB" w:rsidSect="004A7C5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C5E" w:rsidRDefault="00170C5E" w:rsidP="00BE12F1">
      <w:r>
        <w:separator/>
      </w:r>
    </w:p>
  </w:endnote>
  <w:endnote w:type="continuationSeparator" w:id="0">
    <w:p w:rsidR="00170C5E" w:rsidRDefault="00170C5E" w:rsidP="00BE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F1" w:rsidRDefault="00BE12F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F1" w:rsidRDefault="00BE12F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F1" w:rsidRDefault="00BE12F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C5E" w:rsidRDefault="00170C5E" w:rsidP="00BE12F1">
      <w:r>
        <w:separator/>
      </w:r>
    </w:p>
  </w:footnote>
  <w:footnote w:type="continuationSeparator" w:id="0">
    <w:p w:rsidR="00170C5E" w:rsidRDefault="00170C5E" w:rsidP="00BE1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F1" w:rsidRDefault="00BE12F1">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F1" w:rsidRPr="000C6587" w:rsidRDefault="00BE12F1" w:rsidP="00BE12F1">
    <w:pPr>
      <w:pStyle w:val="a5"/>
      <w:jc w:val="center"/>
      <w:rPr>
        <w:rFonts w:ascii="David" w:hAnsi="David"/>
        <w:sz w:val="28"/>
        <w:szCs w:val="28"/>
        <w:rtl/>
      </w:rPr>
    </w:pPr>
    <w:r w:rsidRPr="000C6587">
      <w:rPr>
        <w:rFonts w:ascii="David" w:hAnsi="David"/>
        <w:noProof/>
        <w:sz w:val="28"/>
        <w:szCs w:val="28"/>
      </w:rPr>
      <w:drawing>
        <wp:inline distT="0" distB="0" distL="0" distR="0" wp14:anchorId="75D66612" wp14:editId="3D16AE4F">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BE12F1" w:rsidRPr="000C6587" w:rsidTr="00866057">
      <w:trPr>
        <w:trHeight w:hRule="exact" w:val="418"/>
        <w:jc w:val="center"/>
      </w:trPr>
      <w:sdt>
        <w:sdtPr>
          <w:rPr>
            <w:rFonts w:ascii="David" w:hAnsi="David"/>
            <w:rtl/>
          </w:rPr>
          <w:alias w:val="1174"/>
          <w:tag w:val="1174"/>
          <w:id w:val="1928299766"/>
          <w:text/>
        </w:sdtPr>
        <w:sdtEndPr/>
        <w:sdtContent>
          <w:tc>
            <w:tcPr>
              <w:tcW w:w="8721" w:type="dxa"/>
            </w:tcPr>
            <w:p w:rsidR="00BE12F1" w:rsidRPr="000C6587" w:rsidRDefault="00BE12F1" w:rsidP="00BE12F1">
              <w:pPr>
                <w:pStyle w:val="a5"/>
                <w:jc w:val="center"/>
                <w:rPr>
                  <w:rFonts w:ascii="David" w:hAnsi="David"/>
                  <w:color w:val="000080"/>
                  <w:rtl/>
                </w:rPr>
              </w:pPr>
              <w:r w:rsidRPr="000C6587">
                <w:rPr>
                  <w:rFonts w:ascii="David" w:hAnsi="David"/>
                  <w:b/>
                  <w:bCs/>
                  <w:color w:val="000080"/>
                  <w:rtl/>
                </w:rPr>
                <w:t>בית משפט השלום בפתח תקווה</w:t>
              </w:r>
            </w:p>
          </w:tc>
        </w:sdtContent>
      </w:sdt>
    </w:tr>
  </w:tbl>
  <w:p w:rsidR="00BE12F1" w:rsidRDefault="00BE12F1" w:rsidP="00BE12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F1" w:rsidRDefault="00BE12F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45E"/>
    <w:rsid w:val="000E6C1A"/>
    <w:rsid w:val="00170C5E"/>
    <w:rsid w:val="0019045E"/>
    <w:rsid w:val="004A7C52"/>
    <w:rsid w:val="006B6333"/>
    <w:rsid w:val="007A4A17"/>
    <w:rsid w:val="0082058C"/>
    <w:rsid w:val="008D5C6A"/>
    <w:rsid w:val="00984CBB"/>
    <w:rsid w:val="00BE12F1"/>
    <w:rsid w:val="00C13B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CADE5D-225E-4BC7-90C8-25E158EE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45E"/>
    <w:pPr>
      <w:bidi/>
      <w:spacing w:after="0" w:line="240" w:lineRule="auto"/>
    </w:pPr>
    <w:rPr>
      <w:rFonts w:ascii="Arial (W1)" w:eastAsia="Times New Roman" w:hAnsi="Arial (W1)"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3B98"/>
    <w:rPr>
      <w:rFonts w:ascii="Tahoma" w:hAnsi="Tahoma" w:cs="Tahoma"/>
      <w:sz w:val="18"/>
      <w:szCs w:val="18"/>
    </w:rPr>
  </w:style>
  <w:style w:type="character" w:customStyle="1" w:styleId="a4">
    <w:name w:val="טקסט בלונים תו"/>
    <w:basedOn w:val="a0"/>
    <w:link w:val="a3"/>
    <w:uiPriority w:val="99"/>
    <w:semiHidden/>
    <w:rsid w:val="00C13B98"/>
    <w:rPr>
      <w:rFonts w:ascii="Tahoma" w:eastAsia="Times New Roman" w:hAnsi="Tahoma" w:cs="Tahoma"/>
      <w:sz w:val="18"/>
      <w:szCs w:val="18"/>
    </w:rPr>
  </w:style>
  <w:style w:type="paragraph" w:styleId="a5">
    <w:name w:val="header"/>
    <w:basedOn w:val="a"/>
    <w:link w:val="a6"/>
    <w:uiPriority w:val="99"/>
    <w:unhideWhenUsed/>
    <w:rsid w:val="00BE12F1"/>
    <w:pPr>
      <w:tabs>
        <w:tab w:val="center" w:pos="4153"/>
        <w:tab w:val="right" w:pos="8306"/>
      </w:tabs>
    </w:pPr>
  </w:style>
  <w:style w:type="character" w:customStyle="1" w:styleId="a6">
    <w:name w:val="כותרת עליונה תו"/>
    <w:basedOn w:val="a0"/>
    <w:link w:val="a5"/>
    <w:uiPriority w:val="99"/>
    <w:rsid w:val="00BE12F1"/>
    <w:rPr>
      <w:rFonts w:ascii="Arial (W1)" w:eastAsia="Times New Roman" w:hAnsi="Arial (W1)" w:cs="David"/>
      <w:sz w:val="24"/>
      <w:szCs w:val="24"/>
    </w:rPr>
  </w:style>
  <w:style w:type="paragraph" w:styleId="a7">
    <w:name w:val="footer"/>
    <w:basedOn w:val="a"/>
    <w:link w:val="a8"/>
    <w:uiPriority w:val="99"/>
    <w:unhideWhenUsed/>
    <w:rsid w:val="00BE12F1"/>
    <w:pPr>
      <w:tabs>
        <w:tab w:val="center" w:pos="4153"/>
        <w:tab w:val="right" w:pos="8306"/>
      </w:tabs>
    </w:pPr>
  </w:style>
  <w:style w:type="character" w:customStyle="1" w:styleId="a8">
    <w:name w:val="כותרת תחתונה תו"/>
    <w:basedOn w:val="a0"/>
    <w:link w:val="a7"/>
    <w:uiPriority w:val="99"/>
    <w:rsid w:val="00BE12F1"/>
    <w:rPr>
      <w:rFonts w:ascii="Arial (W1)" w:eastAsia="Times New Roman" w:hAnsi="Arial (W1)"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570</Words>
  <Characters>2647</Characters>
  <Application>Microsoft Office Word</Application>
  <DocSecurity>0</DocSecurity>
  <Lines>67</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אליאנא דניאלי</dc:creator>
  <cp:keywords/>
  <dc:description/>
  <cp:lastModifiedBy>גרמאו מנגיסטו</cp:lastModifiedBy>
  <cp:revision>2</cp:revision>
  <cp:lastPrinted>2023-06-18T12:32:00Z</cp:lastPrinted>
  <dcterms:created xsi:type="dcterms:W3CDTF">2023-06-19T13:51:00Z</dcterms:created>
  <dcterms:modified xsi:type="dcterms:W3CDTF">2023-06-19T13:51:00Z</dcterms:modified>
</cp:coreProperties>
</file>